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A466" w14:textId="77777777" w:rsidR="004D7D2B" w:rsidRDefault="000F691C" w:rsidP="000F691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0F691C">
        <w:rPr>
          <w:rFonts w:ascii="Arial" w:hAnsi="Arial" w:cs="Arial"/>
          <w:b/>
          <w:bCs/>
          <w:sz w:val="36"/>
          <w:szCs w:val="36"/>
        </w:rPr>
        <w:t>ESTUDO DE CASO</w:t>
      </w:r>
      <w:r w:rsidR="004D7D2B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5E438818" w14:textId="6CCA79D4" w:rsidR="000F691C" w:rsidRPr="00556E37" w:rsidRDefault="00556E37" w:rsidP="00556E3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56E37">
        <w:rPr>
          <w:rFonts w:ascii="Arial" w:hAnsi="Arial" w:cs="Arial"/>
          <w:b/>
          <w:bCs/>
          <w:sz w:val="32"/>
          <w:szCs w:val="32"/>
        </w:rPr>
        <w:t xml:space="preserve">Arrendamento e Parceria na Atividade Rural - Planejamento </w:t>
      </w:r>
      <w:r w:rsidR="000044FD" w:rsidRPr="00556E37">
        <w:rPr>
          <w:rFonts w:ascii="Arial" w:hAnsi="Arial" w:cs="Arial"/>
          <w:b/>
          <w:bCs/>
          <w:sz w:val="32"/>
          <w:szCs w:val="32"/>
        </w:rPr>
        <w:t>Tributário</w:t>
      </w:r>
      <w:r w:rsidRPr="00556E37">
        <w:rPr>
          <w:rFonts w:ascii="Arial" w:hAnsi="Arial" w:cs="Arial"/>
          <w:b/>
          <w:bCs/>
          <w:sz w:val="32"/>
          <w:szCs w:val="32"/>
        </w:rPr>
        <w:t xml:space="preserve"> e </w:t>
      </w:r>
      <w:r w:rsidR="000044FD" w:rsidRPr="00556E37">
        <w:rPr>
          <w:rFonts w:ascii="Arial" w:hAnsi="Arial" w:cs="Arial"/>
          <w:b/>
          <w:bCs/>
          <w:sz w:val="32"/>
          <w:szCs w:val="32"/>
        </w:rPr>
        <w:t>Exploração</w:t>
      </w:r>
      <w:r w:rsidRPr="00556E37">
        <w:rPr>
          <w:rFonts w:ascii="Arial" w:hAnsi="Arial" w:cs="Arial"/>
          <w:b/>
          <w:bCs/>
          <w:sz w:val="32"/>
          <w:szCs w:val="32"/>
        </w:rPr>
        <w:t xml:space="preserve"> na Holding</w:t>
      </w:r>
    </w:p>
    <w:p w14:paraId="67CA629F" w14:textId="77777777" w:rsidR="00D505A3" w:rsidRDefault="00D505A3" w:rsidP="000044FD">
      <w:pPr>
        <w:rPr>
          <w:rFonts w:ascii="Arial" w:hAnsi="Arial" w:cs="Arial"/>
          <w:sz w:val="24"/>
          <w:szCs w:val="24"/>
        </w:rPr>
      </w:pPr>
    </w:p>
    <w:p w14:paraId="55EEC12D" w14:textId="64F36083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 xml:space="preserve">O Grupo Familiar </w:t>
      </w:r>
      <w:r w:rsidRPr="000044FD">
        <w:rPr>
          <w:rFonts w:ascii="Arial" w:hAnsi="Arial" w:cs="Arial"/>
          <w:b/>
          <w:bCs/>
          <w:sz w:val="24"/>
          <w:szCs w:val="24"/>
        </w:rPr>
        <w:t>Agro Serra Verde</w:t>
      </w:r>
      <w:r w:rsidRPr="000044FD">
        <w:rPr>
          <w:rFonts w:ascii="Arial" w:hAnsi="Arial" w:cs="Arial"/>
          <w:sz w:val="24"/>
          <w:szCs w:val="24"/>
        </w:rPr>
        <w:t xml:space="preserve"> é composto por três irmãos proprietários de 1.200 hectares no Estado de Goiás.</w:t>
      </w:r>
    </w:p>
    <w:p w14:paraId="4375B363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Situação atual (2026):</w:t>
      </w:r>
    </w:p>
    <w:p w14:paraId="156FC737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 xml:space="preserve">800 </w:t>
      </w:r>
      <w:proofErr w:type="spellStart"/>
      <w:r w:rsidRPr="000044FD">
        <w:rPr>
          <w:rFonts w:ascii="Arial" w:hAnsi="Arial" w:cs="Arial"/>
          <w:sz w:val="24"/>
          <w:szCs w:val="24"/>
        </w:rPr>
        <w:t>ha</w:t>
      </w:r>
      <w:proofErr w:type="spellEnd"/>
      <w:r w:rsidRPr="000044FD">
        <w:rPr>
          <w:rFonts w:ascii="Arial" w:hAnsi="Arial" w:cs="Arial"/>
          <w:sz w:val="24"/>
          <w:szCs w:val="24"/>
        </w:rPr>
        <w:t xml:space="preserve"> explorados diretamente (produção de soja e milho)</w:t>
      </w:r>
    </w:p>
    <w:p w14:paraId="7C3A522F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 xml:space="preserve">400 </w:t>
      </w:r>
      <w:proofErr w:type="spellStart"/>
      <w:r w:rsidRPr="000044FD">
        <w:rPr>
          <w:rFonts w:ascii="Arial" w:hAnsi="Arial" w:cs="Arial"/>
          <w:sz w:val="24"/>
          <w:szCs w:val="24"/>
        </w:rPr>
        <w:t>ha</w:t>
      </w:r>
      <w:proofErr w:type="spellEnd"/>
      <w:r w:rsidRPr="000044FD">
        <w:rPr>
          <w:rFonts w:ascii="Arial" w:hAnsi="Arial" w:cs="Arial"/>
          <w:sz w:val="24"/>
          <w:szCs w:val="24"/>
        </w:rPr>
        <w:t xml:space="preserve"> cedidos a terceiro mediante contrato denominado “parceria agrícola”</w:t>
      </w:r>
    </w:p>
    <w:p w14:paraId="646FC0AB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Receita anual da produção própria: R$ 6.000.000</w:t>
      </w:r>
    </w:p>
    <w:p w14:paraId="2E3F5A08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 xml:space="preserve">Recebimento da cessão dos 400 </w:t>
      </w:r>
      <w:proofErr w:type="spellStart"/>
      <w:r w:rsidRPr="000044FD">
        <w:rPr>
          <w:rFonts w:ascii="Arial" w:hAnsi="Arial" w:cs="Arial"/>
          <w:sz w:val="24"/>
          <w:szCs w:val="24"/>
        </w:rPr>
        <w:t>ha</w:t>
      </w:r>
      <w:proofErr w:type="spellEnd"/>
      <w:r w:rsidRPr="000044FD">
        <w:rPr>
          <w:rFonts w:ascii="Arial" w:hAnsi="Arial" w:cs="Arial"/>
          <w:sz w:val="24"/>
          <w:szCs w:val="24"/>
        </w:rPr>
        <w:t>: R$ 1.200.000/ano</w:t>
      </w:r>
    </w:p>
    <w:p w14:paraId="4F6DACB0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Despesas operacionais: R$ 3.800.000</w:t>
      </w:r>
    </w:p>
    <w:p w14:paraId="3D86B63A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Valor histórico da terra: R$ 5.000.000</w:t>
      </w:r>
    </w:p>
    <w:p w14:paraId="7409A430" w14:textId="77777777" w:rsidR="000044FD" w:rsidRPr="000044FD" w:rsidRDefault="000044FD" w:rsidP="000044FD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Valor de mercado estimado: R$ 18.000.000</w:t>
      </w:r>
    </w:p>
    <w:p w14:paraId="2F874132" w14:textId="77777777" w:rsidR="00D505A3" w:rsidRDefault="00D505A3" w:rsidP="000044FD">
      <w:pPr>
        <w:rPr>
          <w:rFonts w:ascii="Arial" w:hAnsi="Arial" w:cs="Arial"/>
          <w:sz w:val="24"/>
          <w:szCs w:val="24"/>
        </w:rPr>
      </w:pPr>
    </w:p>
    <w:p w14:paraId="30ECAC77" w14:textId="4AA1780C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Os irmãos estudam:</w:t>
      </w:r>
    </w:p>
    <w:p w14:paraId="02A121C8" w14:textId="77777777" w:rsidR="000044FD" w:rsidRPr="000044FD" w:rsidRDefault="000044FD" w:rsidP="000044FD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Converter o contrato atual em arrendamento puro.</w:t>
      </w:r>
    </w:p>
    <w:p w14:paraId="7A99B33E" w14:textId="77777777" w:rsidR="000044FD" w:rsidRPr="000044FD" w:rsidRDefault="000044FD" w:rsidP="000044FD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Estruturar uma holding patrimonial rural (pessoa jurídica).</w:t>
      </w:r>
    </w:p>
    <w:p w14:paraId="757E5D90" w14:textId="77777777" w:rsidR="000044FD" w:rsidRPr="000044FD" w:rsidRDefault="000044FD" w:rsidP="000044FD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Segregar exploração produtiva da propriedade imobiliária.</w:t>
      </w:r>
    </w:p>
    <w:p w14:paraId="0BD860D1" w14:textId="77777777" w:rsidR="000044FD" w:rsidRPr="000044FD" w:rsidRDefault="000044FD" w:rsidP="000044FD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Planejar sucessão familiar com redução de carga tributária futura.</w:t>
      </w:r>
    </w:p>
    <w:p w14:paraId="0706DD03" w14:textId="49DBF67D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2D598093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QUESTÕES</w:t>
      </w:r>
    </w:p>
    <w:p w14:paraId="5DA661FD" w14:textId="4D442212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530A17E7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1. O arrendamento rural caracteriza-se juridicamente como:</w:t>
      </w:r>
    </w:p>
    <w:p w14:paraId="4543CF76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Sociedade empresária.</w:t>
      </w:r>
      <w:r w:rsidRPr="000044FD">
        <w:rPr>
          <w:rFonts w:ascii="Arial" w:hAnsi="Arial" w:cs="Arial"/>
          <w:sz w:val="24"/>
          <w:szCs w:val="24"/>
        </w:rPr>
        <w:br/>
        <w:t>B) Cessão onerosa do uso e gozo da terra mediante preço certo.</w:t>
      </w:r>
      <w:r w:rsidRPr="000044FD">
        <w:rPr>
          <w:rFonts w:ascii="Arial" w:hAnsi="Arial" w:cs="Arial"/>
          <w:sz w:val="24"/>
          <w:szCs w:val="24"/>
        </w:rPr>
        <w:br/>
        <w:t>C) Parceria obrigatória com divisão de riscos.</w:t>
      </w:r>
      <w:r w:rsidRPr="000044FD">
        <w:rPr>
          <w:rFonts w:ascii="Arial" w:hAnsi="Arial" w:cs="Arial"/>
          <w:sz w:val="24"/>
          <w:szCs w:val="24"/>
        </w:rPr>
        <w:br/>
        <w:t>D) Doação com encargos.</w:t>
      </w:r>
    </w:p>
    <w:p w14:paraId="69F02077" w14:textId="6632FDEC" w:rsid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</w:p>
    <w:p w14:paraId="66D71D7A" w14:textId="77777777" w:rsidR="00CC3E7B" w:rsidRDefault="00CC3E7B" w:rsidP="000044FD">
      <w:pPr>
        <w:rPr>
          <w:rFonts w:ascii="Arial" w:hAnsi="Arial" w:cs="Arial"/>
          <w:b/>
          <w:bCs/>
          <w:sz w:val="24"/>
          <w:szCs w:val="24"/>
        </w:rPr>
      </w:pPr>
    </w:p>
    <w:p w14:paraId="4C29771A" w14:textId="77777777" w:rsidR="00CC3E7B" w:rsidRDefault="00CC3E7B" w:rsidP="000044FD">
      <w:pPr>
        <w:rPr>
          <w:rFonts w:ascii="Arial" w:hAnsi="Arial" w:cs="Arial"/>
          <w:sz w:val="24"/>
          <w:szCs w:val="24"/>
        </w:rPr>
      </w:pPr>
    </w:p>
    <w:p w14:paraId="21FD958C" w14:textId="77777777" w:rsidR="00D505A3" w:rsidRDefault="00D505A3" w:rsidP="000044FD">
      <w:pPr>
        <w:rPr>
          <w:rFonts w:ascii="Arial" w:hAnsi="Arial" w:cs="Arial"/>
          <w:sz w:val="24"/>
          <w:szCs w:val="24"/>
        </w:rPr>
      </w:pPr>
    </w:p>
    <w:p w14:paraId="08C921F8" w14:textId="77777777" w:rsidR="00D505A3" w:rsidRPr="000044FD" w:rsidRDefault="00D505A3" w:rsidP="000044FD">
      <w:pPr>
        <w:rPr>
          <w:rFonts w:ascii="Arial" w:hAnsi="Arial" w:cs="Arial"/>
          <w:sz w:val="24"/>
          <w:szCs w:val="24"/>
        </w:rPr>
      </w:pPr>
    </w:p>
    <w:p w14:paraId="3C1A68D8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lastRenderedPageBreak/>
        <w:t>2. A parceria rural distingue-se do arrendamento porque:</w:t>
      </w:r>
    </w:p>
    <w:p w14:paraId="5C350AB9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Sempre envolve pagamento fixo.</w:t>
      </w:r>
      <w:r w:rsidRPr="000044FD">
        <w:rPr>
          <w:rFonts w:ascii="Arial" w:hAnsi="Arial" w:cs="Arial"/>
          <w:sz w:val="24"/>
          <w:szCs w:val="24"/>
        </w:rPr>
        <w:br/>
        <w:t>B) Há partilha de riscos e resultados da produção.</w:t>
      </w:r>
      <w:r w:rsidRPr="000044FD">
        <w:rPr>
          <w:rFonts w:ascii="Arial" w:hAnsi="Arial" w:cs="Arial"/>
          <w:sz w:val="24"/>
          <w:szCs w:val="24"/>
        </w:rPr>
        <w:br/>
        <w:t>C) Não há contrato formal.</w:t>
      </w:r>
      <w:r w:rsidRPr="000044FD">
        <w:rPr>
          <w:rFonts w:ascii="Arial" w:hAnsi="Arial" w:cs="Arial"/>
          <w:sz w:val="24"/>
          <w:szCs w:val="24"/>
        </w:rPr>
        <w:br/>
        <w:t>D) É vedada na agricultura empresarial.</w:t>
      </w:r>
    </w:p>
    <w:p w14:paraId="02D89CB5" w14:textId="73142096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4B008154" w14:textId="77777777" w:rsidR="000044FD" w:rsidRPr="000044FD" w:rsidRDefault="000044FD" w:rsidP="000044F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 xml:space="preserve">3. Se o contrato denominado “parceria” </w:t>
      </w:r>
      <w:proofErr w:type="gramStart"/>
      <w:r w:rsidRPr="000044FD">
        <w:rPr>
          <w:rFonts w:ascii="Arial" w:hAnsi="Arial" w:cs="Arial"/>
          <w:b/>
          <w:bCs/>
          <w:sz w:val="24"/>
          <w:szCs w:val="24"/>
        </w:rPr>
        <w:t>prever</w:t>
      </w:r>
      <w:proofErr w:type="gramEnd"/>
      <w:r w:rsidRPr="000044FD">
        <w:rPr>
          <w:rFonts w:ascii="Arial" w:hAnsi="Arial" w:cs="Arial"/>
          <w:b/>
          <w:bCs/>
          <w:sz w:val="24"/>
          <w:szCs w:val="24"/>
        </w:rPr>
        <w:t xml:space="preserve"> pagamento fixo independente do resultado, a Receita poderá:</w:t>
      </w:r>
    </w:p>
    <w:p w14:paraId="6D6E487C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Considerar parceria válida.</w:t>
      </w:r>
      <w:r w:rsidRPr="000044FD">
        <w:rPr>
          <w:rFonts w:ascii="Arial" w:hAnsi="Arial" w:cs="Arial"/>
          <w:sz w:val="24"/>
          <w:szCs w:val="24"/>
        </w:rPr>
        <w:br/>
        <w:t>B) Requalificar como arrendamento.</w:t>
      </w:r>
      <w:r w:rsidRPr="000044FD">
        <w:rPr>
          <w:rFonts w:ascii="Arial" w:hAnsi="Arial" w:cs="Arial"/>
          <w:sz w:val="24"/>
          <w:szCs w:val="24"/>
        </w:rPr>
        <w:br/>
        <w:t>C) Declarar nulidade civil automática.</w:t>
      </w:r>
      <w:r w:rsidRPr="000044FD">
        <w:rPr>
          <w:rFonts w:ascii="Arial" w:hAnsi="Arial" w:cs="Arial"/>
          <w:sz w:val="24"/>
          <w:szCs w:val="24"/>
        </w:rPr>
        <w:br/>
        <w:t>D) Isentar tributação.</w:t>
      </w:r>
    </w:p>
    <w:p w14:paraId="13D575A2" w14:textId="2FBCA509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7F0E9240" w14:textId="77777777" w:rsidR="000044FD" w:rsidRPr="000044FD" w:rsidRDefault="000044FD" w:rsidP="000044F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4. No arrendamento rural recebido por pessoa física proprietária da terra, o valor recebido é tributado como:</w:t>
      </w:r>
    </w:p>
    <w:p w14:paraId="6D0DAF9C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Resultado da atividade rural.</w:t>
      </w:r>
      <w:r w:rsidRPr="000044FD">
        <w:rPr>
          <w:rFonts w:ascii="Arial" w:hAnsi="Arial" w:cs="Arial"/>
          <w:sz w:val="24"/>
          <w:szCs w:val="24"/>
        </w:rPr>
        <w:br/>
        <w:t>B) Rendimento tributável comum.</w:t>
      </w:r>
      <w:r w:rsidRPr="000044FD">
        <w:rPr>
          <w:rFonts w:ascii="Arial" w:hAnsi="Arial" w:cs="Arial"/>
          <w:sz w:val="24"/>
          <w:szCs w:val="24"/>
        </w:rPr>
        <w:br/>
        <w:t>C) Ganho de capital.</w:t>
      </w:r>
      <w:r w:rsidRPr="000044FD">
        <w:rPr>
          <w:rFonts w:ascii="Arial" w:hAnsi="Arial" w:cs="Arial"/>
          <w:sz w:val="24"/>
          <w:szCs w:val="24"/>
        </w:rPr>
        <w:br/>
        <w:t>D) Receita isenta.</w:t>
      </w:r>
    </w:p>
    <w:p w14:paraId="2943225D" w14:textId="5FC1FABA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0F8A1910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5. Já na parceria rural, a receita recebida pelo proprietário:</w:t>
      </w:r>
    </w:p>
    <w:p w14:paraId="3FF03508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É rendimento imobiliário.</w:t>
      </w:r>
      <w:r w:rsidRPr="000044FD">
        <w:rPr>
          <w:rFonts w:ascii="Arial" w:hAnsi="Arial" w:cs="Arial"/>
          <w:sz w:val="24"/>
          <w:szCs w:val="24"/>
        </w:rPr>
        <w:br/>
        <w:t>B) Integra o resultado da atividade rural.</w:t>
      </w:r>
      <w:r w:rsidRPr="000044FD">
        <w:rPr>
          <w:rFonts w:ascii="Arial" w:hAnsi="Arial" w:cs="Arial"/>
          <w:sz w:val="24"/>
          <w:szCs w:val="24"/>
        </w:rPr>
        <w:br/>
        <w:t>C) É isenta.</w:t>
      </w:r>
      <w:r w:rsidRPr="000044FD">
        <w:rPr>
          <w:rFonts w:ascii="Arial" w:hAnsi="Arial" w:cs="Arial"/>
          <w:sz w:val="24"/>
          <w:szCs w:val="24"/>
        </w:rPr>
        <w:br/>
        <w:t>D) É ganho de capital.</w:t>
      </w:r>
    </w:p>
    <w:p w14:paraId="01DA2560" w14:textId="1222E543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28D87632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6. A contribuição previdenciária do produtor rural pessoa física incide sobre:</w:t>
      </w:r>
    </w:p>
    <w:p w14:paraId="133B16FD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Lucro líquido.</w:t>
      </w:r>
      <w:r w:rsidRPr="000044FD">
        <w:rPr>
          <w:rFonts w:ascii="Arial" w:hAnsi="Arial" w:cs="Arial"/>
          <w:sz w:val="24"/>
          <w:szCs w:val="24"/>
        </w:rPr>
        <w:br/>
        <w:t>B) Receita bruta da comercialização.</w:t>
      </w:r>
      <w:r w:rsidRPr="000044FD">
        <w:rPr>
          <w:rFonts w:ascii="Arial" w:hAnsi="Arial" w:cs="Arial"/>
          <w:sz w:val="24"/>
          <w:szCs w:val="24"/>
        </w:rPr>
        <w:br/>
        <w:t>C) Valor do arrendamento.</w:t>
      </w:r>
      <w:r w:rsidRPr="000044FD">
        <w:rPr>
          <w:rFonts w:ascii="Arial" w:hAnsi="Arial" w:cs="Arial"/>
          <w:sz w:val="24"/>
          <w:szCs w:val="24"/>
        </w:rPr>
        <w:br/>
        <w:t>D) Ganho de capital.</w:t>
      </w:r>
    </w:p>
    <w:p w14:paraId="70605A1B" w14:textId="09E78696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3B6DB000" w14:textId="77777777" w:rsidR="000044FD" w:rsidRPr="000044FD" w:rsidRDefault="000044FD" w:rsidP="000044F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7. Caso os irmãos constituam holding patrimonial para deter a terra e celebrem contrato de arrendamento com empresa operacional, a receita do arrendamento na holding será tributada:</w:t>
      </w:r>
    </w:p>
    <w:p w14:paraId="137EB3E5" w14:textId="2A895088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Como atividade rural automaticamente.</w:t>
      </w:r>
      <w:r w:rsidRPr="000044FD">
        <w:rPr>
          <w:rFonts w:ascii="Arial" w:hAnsi="Arial" w:cs="Arial"/>
          <w:sz w:val="24"/>
          <w:szCs w:val="24"/>
        </w:rPr>
        <w:br/>
        <w:t>B) Como receita imobiliária da pessoa jurídica.</w:t>
      </w:r>
      <w:r w:rsidRPr="000044FD">
        <w:rPr>
          <w:rFonts w:ascii="Arial" w:hAnsi="Arial" w:cs="Arial"/>
          <w:sz w:val="24"/>
          <w:szCs w:val="24"/>
        </w:rPr>
        <w:br/>
        <w:t>C) Como ganho de capital.</w:t>
      </w:r>
      <w:r w:rsidRPr="000044FD">
        <w:rPr>
          <w:rFonts w:ascii="Arial" w:hAnsi="Arial" w:cs="Arial"/>
          <w:sz w:val="24"/>
          <w:szCs w:val="24"/>
        </w:rPr>
        <w:br/>
        <w:t>D) Como doação.</w:t>
      </w:r>
    </w:p>
    <w:p w14:paraId="7EC811E2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lastRenderedPageBreak/>
        <w:t>8. A segregação entre propriedade da terra e atividade produtiva pode gerar:</w:t>
      </w:r>
    </w:p>
    <w:p w14:paraId="5C63060F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Confusão patrimonial.</w:t>
      </w:r>
      <w:r w:rsidRPr="000044FD">
        <w:rPr>
          <w:rFonts w:ascii="Arial" w:hAnsi="Arial" w:cs="Arial"/>
          <w:sz w:val="24"/>
          <w:szCs w:val="24"/>
        </w:rPr>
        <w:br/>
        <w:t>B) Maior proteção patrimonial e planejamento sucessório.</w:t>
      </w:r>
      <w:r w:rsidRPr="000044FD">
        <w:rPr>
          <w:rFonts w:ascii="Arial" w:hAnsi="Arial" w:cs="Arial"/>
          <w:sz w:val="24"/>
          <w:szCs w:val="24"/>
        </w:rPr>
        <w:br/>
        <w:t>C) Vedação legal.</w:t>
      </w:r>
      <w:r w:rsidRPr="000044FD">
        <w:rPr>
          <w:rFonts w:ascii="Arial" w:hAnsi="Arial" w:cs="Arial"/>
          <w:sz w:val="24"/>
          <w:szCs w:val="24"/>
        </w:rPr>
        <w:br/>
        <w:t>D) Imunidade tributária.</w:t>
      </w:r>
    </w:p>
    <w:p w14:paraId="4CE4EEA4" w14:textId="3F0C0E69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05A3DFD3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9. A integralização da terra na holding pelo valor histórico reduz:</w:t>
      </w:r>
    </w:p>
    <w:p w14:paraId="7ACE57BF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ITBI sempre.</w:t>
      </w:r>
      <w:r w:rsidRPr="000044FD">
        <w:rPr>
          <w:rFonts w:ascii="Arial" w:hAnsi="Arial" w:cs="Arial"/>
          <w:sz w:val="24"/>
          <w:szCs w:val="24"/>
        </w:rPr>
        <w:br/>
        <w:t>B) Potencial ganho de capital imediato.</w:t>
      </w:r>
      <w:r w:rsidRPr="000044FD">
        <w:rPr>
          <w:rFonts w:ascii="Arial" w:hAnsi="Arial" w:cs="Arial"/>
          <w:sz w:val="24"/>
          <w:szCs w:val="24"/>
        </w:rPr>
        <w:br/>
        <w:t>C) Receita operacional.</w:t>
      </w:r>
      <w:r w:rsidRPr="000044FD">
        <w:rPr>
          <w:rFonts w:ascii="Arial" w:hAnsi="Arial" w:cs="Arial"/>
          <w:sz w:val="24"/>
          <w:szCs w:val="24"/>
        </w:rPr>
        <w:br/>
        <w:t>D) Contribuição previdenciária.</w:t>
      </w:r>
    </w:p>
    <w:p w14:paraId="52EE3B08" w14:textId="45894AEC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185B8437" w14:textId="77777777" w:rsidR="000044FD" w:rsidRPr="000044FD" w:rsidRDefault="000044FD" w:rsidP="000044F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10. Se futuramente a holding vender o imóvel rural por R$ 18 milhões, o ganho de capital será apurado considerando:</w:t>
      </w:r>
    </w:p>
    <w:p w14:paraId="09EBF173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Valor de mercado atual como custo.</w:t>
      </w:r>
      <w:r w:rsidRPr="000044FD">
        <w:rPr>
          <w:rFonts w:ascii="Arial" w:hAnsi="Arial" w:cs="Arial"/>
          <w:sz w:val="24"/>
          <w:szCs w:val="24"/>
        </w:rPr>
        <w:br/>
        <w:t>B) Valor histórico registrado.</w:t>
      </w:r>
      <w:r w:rsidRPr="000044FD">
        <w:rPr>
          <w:rFonts w:ascii="Arial" w:hAnsi="Arial" w:cs="Arial"/>
          <w:sz w:val="24"/>
          <w:szCs w:val="24"/>
        </w:rPr>
        <w:br/>
        <w:t>C) Receita operacional.</w:t>
      </w:r>
      <w:r w:rsidRPr="000044FD">
        <w:rPr>
          <w:rFonts w:ascii="Arial" w:hAnsi="Arial" w:cs="Arial"/>
          <w:sz w:val="24"/>
          <w:szCs w:val="24"/>
        </w:rPr>
        <w:br/>
        <w:t>D) Isenção automática.</w:t>
      </w:r>
    </w:p>
    <w:p w14:paraId="0983E2EE" w14:textId="77777777" w:rsidR="00D505A3" w:rsidRPr="000044FD" w:rsidRDefault="00D505A3" w:rsidP="000044FD">
      <w:pPr>
        <w:rPr>
          <w:rFonts w:ascii="Arial" w:hAnsi="Arial" w:cs="Arial"/>
          <w:sz w:val="24"/>
          <w:szCs w:val="24"/>
        </w:rPr>
      </w:pPr>
    </w:p>
    <w:p w14:paraId="28E35142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11. Do ponto de vista do planejamento tributário, a parceria pode ser mais vantajosa que o arrendamento quando:</w:t>
      </w:r>
    </w:p>
    <w:p w14:paraId="33B11F6D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O proprietário deseja receita fixa sem risco.</w:t>
      </w:r>
      <w:r w:rsidRPr="000044FD">
        <w:rPr>
          <w:rFonts w:ascii="Arial" w:hAnsi="Arial" w:cs="Arial"/>
          <w:sz w:val="24"/>
          <w:szCs w:val="24"/>
        </w:rPr>
        <w:br/>
        <w:t>B) Há expectativa de alta produtividade e partilha de resultados.</w:t>
      </w:r>
      <w:r w:rsidRPr="000044FD">
        <w:rPr>
          <w:rFonts w:ascii="Arial" w:hAnsi="Arial" w:cs="Arial"/>
          <w:sz w:val="24"/>
          <w:szCs w:val="24"/>
        </w:rPr>
        <w:br/>
        <w:t>C) O imóvel não será explorado.</w:t>
      </w:r>
      <w:r w:rsidRPr="000044FD">
        <w:rPr>
          <w:rFonts w:ascii="Arial" w:hAnsi="Arial" w:cs="Arial"/>
          <w:sz w:val="24"/>
          <w:szCs w:val="24"/>
        </w:rPr>
        <w:br/>
        <w:t>D) Não há contrato escrito.</w:t>
      </w:r>
    </w:p>
    <w:p w14:paraId="45AB9897" w14:textId="7C044381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6309BADC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12. A requalificação fiscal de parceria simulada pode gerar:</w:t>
      </w:r>
    </w:p>
    <w:p w14:paraId="07527A3E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Apenas multa formal.</w:t>
      </w:r>
      <w:r w:rsidRPr="000044FD">
        <w:rPr>
          <w:rFonts w:ascii="Arial" w:hAnsi="Arial" w:cs="Arial"/>
          <w:sz w:val="24"/>
          <w:szCs w:val="24"/>
        </w:rPr>
        <w:br/>
        <w:t>B) Lançamento de ofício com multa e juros.</w:t>
      </w:r>
      <w:r w:rsidRPr="000044FD">
        <w:rPr>
          <w:rFonts w:ascii="Arial" w:hAnsi="Arial" w:cs="Arial"/>
          <w:sz w:val="24"/>
          <w:szCs w:val="24"/>
        </w:rPr>
        <w:br/>
        <w:t>C) Perdão automático.</w:t>
      </w:r>
      <w:r w:rsidRPr="000044FD">
        <w:rPr>
          <w:rFonts w:ascii="Arial" w:hAnsi="Arial" w:cs="Arial"/>
          <w:sz w:val="24"/>
          <w:szCs w:val="24"/>
        </w:rPr>
        <w:br/>
        <w:t>D) Conversão em holding compulsória.</w:t>
      </w:r>
    </w:p>
    <w:p w14:paraId="612CEF2D" w14:textId="77FE90C1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13E0833E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13. A constituição de holding rural familiar é instrumento comum para:</w:t>
      </w:r>
    </w:p>
    <w:p w14:paraId="2717AF9A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Sonegação fiscal.</w:t>
      </w:r>
      <w:r w:rsidRPr="000044FD">
        <w:rPr>
          <w:rFonts w:ascii="Arial" w:hAnsi="Arial" w:cs="Arial"/>
          <w:sz w:val="24"/>
          <w:szCs w:val="24"/>
        </w:rPr>
        <w:br/>
        <w:t>B) Planejamento sucessório e governança patrimonial.</w:t>
      </w:r>
      <w:r w:rsidRPr="000044FD">
        <w:rPr>
          <w:rFonts w:ascii="Arial" w:hAnsi="Arial" w:cs="Arial"/>
          <w:sz w:val="24"/>
          <w:szCs w:val="24"/>
        </w:rPr>
        <w:br/>
        <w:t>C) Eliminar IR.</w:t>
      </w:r>
      <w:r w:rsidRPr="000044FD">
        <w:rPr>
          <w:rFonts w:ascii="Arial" w:hAnsi="Arial" w:cs="Arial"/>
          <w:sz w:val="24"/>
          <w:szCs w:val="24"/>
        </w:rPr>
        <w:br/>
        <w:t>D) Evitar qualquer tributação.</w:t>
      </w:r>
    </w:p>
    <w:p w14:paraId="06FE6110" w14:textId="7609FB67" w:rsid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</w:p>
    <w:p w14:paraId="50ABC2AF" w14:textId="77777777" w:rsidR="00CC3E7B" w:rsidRPr="000044FD" w:rsidRDefault="00CC3E7B" w:rsidP="000044FD">
      <w:pPr>
        <w:rPr>
          <w:rFonts w:ascii="Arial" w:hAnsi="Arial" w:cs="Arial"/>
          <w:sz w:val="24"/>
          <w:szCs w:val="24"/>
        </w:rPr>
      </w:pPr>
    </w:p>
    <w:p w14:paraId="67DE5C95" w14:textId="77777777" w:rsidR="000044FD" w:rsidRPr="000044FD" w:rsidRDefault="000044FD" w:rsidP="000044FD">
      <w:pPr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lastRenderedPageBreak/>
        <w:t>14. Do ponto de vista econômico-tributário, o arrendamento tende a:</w:t>
      </w:r>
    </w:p>
    <w:p w14:paraId="58929BB1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Transferir risco ao proprietário.</w:t>
      </w:r>
      <w:r w:rsidRPr="000044FD">
        <w:rPr>
          <w:rFonts w:ascii="Arial" w:hAnsi="Arial" w:cs="Arial"/>
          <w:sz w:val="24"/>
          <w:szCs w:val="24"/>
        </w:rPr>
        <w:br/>
        <w:t>B) Eliminar tributação.</w:t>
      </w:r>
      <w:r w:rsidRPr="000044FD">
        <w:rPr>
          <w:rFonts w:ascii="Arial" w:hAnsi="Arial" w:cs="Arial"/>
          <w:sz w:val="24"/>
          <w:szCs w:val="24"/>
        </w:rPr>
        <w:br/>
        <w:t>C) Garantir renda fixa ao proprietário sem exposição ao risco produtivo.</w:t>
      </w:r>
      <w:r w:rsidRPr="000044FD">
        <w:rPr>
          <w:rFonts w:ascii="Arial" w:hAnsi="Arial" w:cs="Arial"/>
          <w:sz w:val="24"/>
          <w:szCs w:val="24"/>
        </w:rPr>
        <w:br/>
        <w:t>D) Integrar automaticamente resultado rural.</w:t>
      </w:r>
    </w:p>
    <w:p w14:paraId="3CF70C14" w14:textId="2D38C5D3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</w:p>
    <w:p w14:paraId="6C97321B" w14:textId="77777777" w:rsidR="000044FD" w:rsidRPr="000044FD" w:rsidRDefault="000044FD" w:rsidP="000044F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44FD">
        <w:rPr>
          <w:rFonts w:ascii="Arial" w:hAnsi="Arial" w:cs="Arial"/>
          <w:b/>
          <w:bCs/>
          <w:sz w:val="24"/>
          <w:szCs w:val="24"/>
        </w:rPr>
        <w:t>15. Considerando o caso apresentado, sob perspectiva de mestrado/doutorado em Direito Tributário e Finanças do Agronegócio, a alternativa estruturalmente mais eficiente tende a ser:</w:t>
      </w:r>
    </w:p>
    <w:p w14:paraId="7F6A23A6" w14:textId="77777777" w:rsidR="000044FD" w:rsidRPr="000044FD" w:rsidRDefault="000044FD" w:rsidP="000044FD">
      <w:pPr>
        <w:rPr>
          <w:rFonts w:ascii="Arial" w:hAnsi="Arial" w:cs="Arial"/>
          <w:sz w:val="24"/>
          <w:szCs w:val="24"/>
        </w:rPr>
      </w:pPr>
      <w:r w:rsidRPr="000044FD">
        <w:rPr>
          <w:rFonts w:ascii="Arial" w:hAnsi="Arial" w:cs="Arial"/>
          <w:sz w:val="24"/>
          <w:szCs w:val="24"/>
        </w:rPr>
        <w:t>A) Manter modelo híbrido informal.</w:t>
      </w:r>
      <w:r w:rsidRPr="000044FD">
        <w:rPr>
          <w:rFonts w:ascii="Arial" w:hAnsi="Arial" w:cs="Arial"/>
          <w:sz w:val="24"/>
          <w:szCs w:val="24"/>
        </w:rPr>
        <w:br/>
        <w:t>B) Formalizar adequadamente parceria real ou converter em arrendamento conforme substância, e estruturar holding patrimonial para segregação de riscos e sucessão.</w:t>
      </w:r>
      <w:r w:rsidRPr="000044FD">
        <w:rPr>
          <w:rFonts w:ascii="Arial" w:hAnsi="Arial" w:cs="Arial"/>
          <w:sz w:val="24"/>
          <w:szCs w:val="24"/>
        </w:rPr>
        <w:br/>
        <w:t>C) Encerrar atividade produtiva.</w:t>
      </w:r>
      <w:r w:rsidRPr="000044FD">
        <w:rPr>
          <w:rFonts w:ascii="Arial" w:hAnsi="Arial" w:cs="Arial"/>
          <w:sz w:val="24"/>
          <w:szCs w:val="24"/>
        </w:rPr>
        <w:br/>
        <w:t>D) Não formalizar contratos.</w:t>
      </w:r>
    </w:p>
    <w:p w14:paraId="37DF638B" w14:textId="0E91E196" w:rsidR="000044FD" w:rsidRPr="000F691C" w:rsidRDefault="000044FD">
      <w:pPr>
        <w:rPr>
          <w:rFonts w:ascii="Arial" w:hAnsi="Arial" w:cs="Arial"/>
          <w:sz w:val="24"/>
          <w:szCs w:val="24"/>
        </w:rPr>
      </w:pPr>
    </w:p>
    <w:sectPr w:rsidR="000044FD" w:rsidRPr="000F691C" w:rsidSect="000F691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5F7A3" w14:textId="77777777" w:rsidR="00AB0AF9" w:rsidRDefault="00AB0AF9" w:rsidP="00C42CC1">
      <w:pPr>
        <w:spacing w:after="0" w:line="240" w:lineRule="auto"/>
      </w:pPr>
      <w:r>
        <w:separator/>
      </w:r>
    </w:p>
  </w:endnote>
  <w:endnote w:type="continuationSeparator" w:id="0">
    <w:p w14:paraId="1ED8B86B" w14:textId="77777777" w:rsidR="00AB0AF9" w:rsidRDefault="00AB0AF9" w:rsidP="00C4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1219" w14:textId="3EB8B479" w:rsidR="00C42CC1" w:rsidRPr="009F252C" w:rsidRDefault="00057E10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Arrendamento e Parceria – Planejamento</w:t>
    </w:r>
    <w:r w:rsidR="00E2712F">
      <w:rPr>
        <w:rFonts w:ascii="Arial" w:hAnsi="Arial" w:cs="Arial"/>
        <w:b/>
        <w:bCs/>
        <w:sz w:val="24"/>
        <w:szCs w:val="24"/>
      </w:rPr>
      <w:t xml:space="preserve">              </w:t>
    </w:r>
    <w:r w:rsidR="003D2386">
      <w:rPr>
        <w:rFonts w:ascii="Arial" w:hAnsi="Arial" w:cs="Arial"/>
        <w:b/>
        <w:bCs/>
        <w:sz w:val="24"/>
        <w:szCs w:val="24"/>
      </w:rPr>
      <w:t xml:space="preserve"> </w:t>
    </w:r>
    <w:r w:rsidR="009F252C" w:rsidRPr="009F252C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FCAC" w14:textId="77777777" w:rsidR="00AB0AF9" w:rsidRDefault="00AB0AF9" w:rsidP="00C42CC1">
      <w:pPr>
        <w:spacing w:after="0" w:line="240" w:lineRule="auto"/>
      </w:pPr>
      <w:r>
        <w:separator/>
      </w:r>
    </w:p>
  </w:footnote>
  <w:footnote w:type="continuationSeparator" w:id="0">
    <w:p w14:paraId="231FE28E" w14:textId="77777777" w:rsidR="00AB0AF9" w:rsidRDefault="00AB0AF9" w:rsidP="00C42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357BC"/>
    <w:multiLevelType w:val="multilevel"/>
    <w:tmpl w:val="05A8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CA61FD"/>
    <w:multiLevelType w:val="multilevel"/>
    <w:tmpl w:val="09E85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97EFF"/>
    <w:multiLevelType w:val="multilevel"/>
    <w:tmpl w:val="82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37743A"/>
    <w:multiLevelType w:val="multilevel"/>
    <w:tmpl w:val="380E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187743">
    <w:abstractNumId w:val="0"/>
  </w:num>
  <w:num w:numId="2" w16cid:durableId="1135686240">
    <w:abstractNumId w:val="2"/>
  </w:num>
  <w:num w:numId="3" w16cid:durableId="233711242">
    <w:abstractNumId w:val="3"/>
  </w:num>
  <w:num w:numId="4" w16cid:durableId="121702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1C"/>
    <w:rsid w:val="000044FD"/>
    <w:rsid w:val="00057E10"/>
    <w:rsid w:val="000F691C"/>
    <w:rsid w:val="001C6275"/>
    <w:rsid w:val="003D2386"/>
    <w:rsid w:val="004D7D2B"/>
    <w:rsid w:val="00511BAF"/>
    <w:rsid w:val="00556E37"/>
    <w:rsid w:val="00557C2F"/>
    <w:rsid w:val="005E1E6E"/>
    <w:rsid w:val="009F252C"/>
    <w:rsid w:val="00AB0AF9"/>
    <w:rsid w:val="00C42CC1"/>
    <w:rsid w:val="00CC3E7B"/>
    <w:rsid w:val="00D505A3"/>
    <w:rsid w:val="00D61059"/>
    <w:rsid w:val="00DC4C22"/>
    <w:rsid w:val="00E12082"/>
    <w:rsid w:val="00E2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7E2A3"/>
  <w15:chartTrackingRefBased/>
  <w15:docId w15:val="{7C43BF28-CA47-483B-BBD6-064BF251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6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6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6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6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6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6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6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6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6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6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6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6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69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691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69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691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69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69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6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6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6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6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6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691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691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691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6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691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691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655</Words>
  <Characters>3732</Characters>
  <Application>Microsoft Office Word</Application>
  <DocSecurity>0</DocSecurity>
  <Lines>133</Lines>
  <Paragraphs>71</Paragraphs>
  <ScaleCrop>false</ScaleCrop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Crepaldi</dc:creator>
  <cp:keywords/>
  <dc:description/>
  <cp:lastModifiedBy>Silvio Crepaldi</cp:lastModifiedBy>
  <cp:revision>3</cp:revision>
  <dcterms:created xsi:type="dcterms:W3CDTF">2026-02-19T12:30:00Z</dcterms:created>
  <dcterms:modified xsi:type="dcterms:W3CDTF">2026-02-19T12:31:00Z</dcterms:modified>
</cp:coreProperties>
</file>